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80"/>
        </w:tabs>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APSTIPRINĀTS</w:t>
      </w:r>
    </w:p>
    <w:p w:rsidR="00000000" w:rsidDel="00000000" w:rsidP="00000000" w:rsidRDefault="00000000" w:rsidRPr="00000000" w14:paraId="00000002">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SIA  “Latvijas Nacionālais sporta centrs”</w:t>
      </w:r>
    </w:p>
    <w:p w:rsidR="00000000" w:rsidDel="00000000" w:rsidP="00000000" w:rsidRDefault="00000000" w:rsidRPr="00000000" w14:paraId="00000003">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Nekustamā īpašuma komisijas 2023.gada 15. jūnija sēdē</w:t>
      </w:r>
    </w:p>
    <w:p w:rsidR="00000000" w:rsidDel="00000000" w:rsidP="00000000" w:rsidRDefault="00000000" w:rsidRPr="00000000" w14:paraId="00000004">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Protokols Nr. 1-16.1/13</w:t>
      </w:r>
    </w:p>
    <w:p w:rsidR="00000000" w:rsidDel="00000000" w:rsidP="00000000" w:rsidRDefault="00000000" w:rsidRPr="00000000" w14:paraId="00000005">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NOMAS TIESĪBU IZSOLES NOLIKUMS</w:t>
      </w:r>
    </w:p>
    <w:p w:rsidR="00000000" w:rsidDel="00000000" w:rsidP="00000000" w:rsidRDefault="00000000" w:rsidRPr="00000000" w14:paraId="000000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nedzīvojamo telpu nomu, kas atrodas O. Kalpaka prospektā 16, Jūrmalā, </w:t>
      </w:r>
    </w:p>
    <w:p w:rsidR="00000000" w:rsidDel="00000000" w:rsidP="00000000" w:rsidRDefault="00000000" w:rsidRPr="00000000" w14:paraId="000000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1.stāvā ar kopējo platību 175,3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Izsoles identifikācijas Nr. 1-16.2/9</w:t>
      </w:r>
    </w:p>
    <w:p w:rsidR="00000000" w:rsidDel="00000000" w:rsidP="00000000" w:rsidRDefault="00000000" w:rsidRPr="00000000" w14:paraId="0000000B">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Vispārīgie noteikumi</w:t>
      </w:r>
    </w:p>
    <w:p w:rsidR="00000000" w:rsidDel="00000000" w:rsidP="00000000" w:rsidRDefault="00000000" w:rsidRPr="00000000" w14:paraId="000000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Iznomātājs: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Sabiedrība ar ierobežotu atbildību “Latvijas Nacionālais sporta centrs” (turpmāk – Sabiedrība), reģistrācijas Nr.50003140671, juridiskā adrese: Augšiela 1, Rīga, LV-1009.</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Izsoli organizē: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Sabiedrības Nekustamā īpašuma un inventāra iznomāšanas komisija (turpmāk – Komisija), kas izveidota saskaņā ar Sabiedrības valdes 2022.gada 06.oktobra rīkojumu Nr.1-3/24.</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576" w:right="0" w:hanging="57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Nomas tiesību rakstveida izsoles nolikums (turpmāk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576" w:right="0" w:hanging="57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veids: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atkārtota izsole, rakstiska izsole ar augšupejošu soli.</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identifikācijas Nr.: 1-16.2/</w:t>
      </w: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Kontaktpersona: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Oksana Mackeviča, tel.nr. 28308832, e-pasts: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oksana.mackevica@lnsc.lv</w:t>
        </w:r>
      </w:hyperlink>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objekts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objekts: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nomas tiesības uz nedzīvojamo telpu daļu, kas atrodas O. Kalpaka prospekts 16, Jūrmala (būves  kadastra apzīmējums 1300 004 5718 014), sastāv no telpām: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irtuves telpas Nr.176 un Nr.171 ar kopējo platību 62,3 m</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Kafejnīcas zāles telpa Nr.172 ar platību 113,0 m</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18">
      <w:pPr>
        <w:spacing w:after="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Kopējā nomājamā platība ir: 175,3 m</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rtl w:val="0"/>
        </w:rPr>
        <w:t xml:space="preserve"> (turpmāk – Telpas). </w:t>
      </w:r>
    </w:p>
    <w:p w:rsidR="00000000" w:rsidDel="00000000" w:rsidP="00000000" w:rsidRDefault="00000000" w:rsidRPr="00000000" w14:paraId="0000001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Telpu lietošanas mērķis: </w:t>
      </w:r>
      <w:r w:rsidDel="00000000" w:rsidR="00000000" w:rsidRPr="00000000">
        <w:rPr>
          <w:rFonts w:ascii="Times New Roman" w:cs="Times New Roman" w:eastAsia="Times New Roman" w:hAnsi="Times New Roman"/>
          <w:rtl w:val="0"/>
        </w:rPr>
        <w:t xml:space="preserve">kafejnīcas, restorāna un/vai citu ēdināšanas pakalpojumu sniegšana.</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objekta nomas īpašie nosacījumi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Saskaņā ar Tehniskā specifikācija/Tehniskais piedāvājums  (Nolikuma 2.pielikums) noteiktajām prasībām.</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sākumcena: EUR 236,78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(divi simti trīsdesmit seši eiro un septiņdesmit astoņi centi) bez pievienotās vērtības nodokļa (turpmāk – PVN)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mēnesī.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PVN tiek aprēķināts saskaņā ar Latvijas Republikas normatīvajos aktos noteikto likmi. Papildus maksājot samaksu par komunālajiem pakalpojumiem (elektrība, siltumapgāde, ūdens, kanalizācija, ēkas uzturēšana).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minimālais solis: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EUR 20,00 (divdesmit eiro un 0 centi) mēnesī bez pievienotās vērtības nodokļa (turpmāk – PVN).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Telpu nomas termiņš: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(trīs) gadi</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Telpas tiek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nodotas nomā bez aprīkojuma, iekārtām, mēbelēm un citiem elementiem. Kvalitatīva pakalpojuma nodrošināšanai Pretendentam nepieciešamie ieguldījumi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jāveic pašam, pēc saviem ieskatiem, saskaņā ar jomu regulējošiem Latvijas Republikā spēkā esošajiem normatīvajiem aktiem. Jel kāda veida ieguldījumi, kurus nomas objektā veicis Pretendents, Pretendentam netiek kompensēti.</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 ierobežojuma laiku un noteikumiem Telpu nomnieks tiek savlaicīgi informēts. Šajā gadījumā nomas maksa netiek aprēķināta par laika periodu, kad nomniekam ir liegta iespēja lietot Telpas.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Papildus Telpu nomas maksai nomnieks maksā maksu par  komunālajiem un citiem pakalpojumiem (piemēram, sakaru pakalpojumiem), ja Sabiedrība šādus pakalpojumus nodrošina.</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Nomniekam nav tiesību nodot Telpas vai to daļu apakšnomā trešajām personām.</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60" w:right="0" w:hanging="50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Izsoles objektu pretendents var apskatīt tā atrašanās vietā, apskates laiku (darba dienās) iepriekš saskaņojot ar Oksanu Mackeviču, tel.nr. 28308832, e-pasts: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oksana.mackevica@lnsc.lv</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Informācija par izsoles publicēšanu</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76" w:right="0" w:hanging="36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Sludinājumu par izsoli un nolikumu Sabiedrība publicē savā mājaslapā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www.lnsc.lv</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sadaļas „Telpu un aprīkojuma noma” apakšsadaļā “Iznomāšanai paredzētie nekustamie īpašumi”.</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76" w:right="0" w:hanging="36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Sludinājumu par izsoli publicē arī VAS „Valsts nekustamie īpašumi” mājaslapā internetā </w:t>
      </w: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www.vni.lv</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Piedāvājuma iesniegšanas kārtība un prasības pretendentiem</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Pretendents piedāvājumu iesniedz līdz </w:t>
      </w:r>
      <w:r w:rsidDel="00000000" w:rsidR="00000000" w:rsidRPr="00000000">
        <w:rPr>
          <w:rFonts w:ascii="Times New Roman" w:cs="Times New Roman" w:eastAsia="Times New Roman" w:hAnsi="Times New Roman"/>
          <w:b w:val="1"/>
          <w:rtl w:val="0"/>
        </w:rPr>
        <w:t xml:space="preserve">04.07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plkst. 11:00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Sabiedrības Administrācijā, Augšielā 1, Rīgā, LV-1009, piedāvājumu iesniedzot personīgi vai nosūtot pa pastu. Pasta sūtījumiem jābūt saņemtiem Sabiedrībā līdz </w:t>
      </w:r>
      <w:r w:rsidDel="00000000" w:rsidR="00000000" w:rsidRPr="00000000">
        <w:rPr>
          <w:rFonts w:ascii="Times New Roman" w:cs="Times New Roman" w:eastAsia="Times New Roman" w:hAnsi="Times New Roman"/>
          <w:b w:val="1"/>
          <w:rtl w:val="0"/>
        </w:rPr>
        <w:t xml:space="preserve">04.07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plkst. 11:00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Pretendents piedāvājumu noformē, aizpildot “Pieteikums izsolei” (Nolikuma 1.pielikums), kurā norāda:</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1134"/>
        </w:tabs>
        <w:spacing w:after="0" w:before="0" w:line="259" w:lineRule="auto"/>
        <w:ind w:left="115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fiziska persona – vārdu, uzvārdu, personas kodu, deklarētās dzīvesvietas adresi;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76" w:right="0" w:hanging="14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juridiska persona – nosaukumu, reģistrācijas numuru, juridisko adresi;</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515"/>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5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kontakttālruni un elektroniskā pasta adresi;</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1276"/>
        </w:tabs>
        <w:spacing w:after="0" w:before="0" w:line="259"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Izsoles objekta adresi un platību;</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1276"/>
        </w:tabs>
        <w:spacing w:after="0" w:before="0" w:line="259"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nomas laikā plānotās darbības izsoles objektā;</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1276"/>
        </w:tabs>
        <w:spacing w:after="0" w:before="0" w:line="259" w:lineRule="auto"/>
        <w:ind w:left="1276"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piedāvāto nomas maksas apmēru par vienu iznomājamās platības kvadrātmetru mēnesī bez pievienotās vērtības nodokļa.</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Pretendents var iesniegt tikai vienu piedāvājuma variantu.</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Piedāvājumam jābūt spēkā vismaz 3 (trīs) mēnešus no piedāvājuma atvēršanas brīža.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 dokumenti iesniedzami latviešu valodā 1 (vienā) eksemplārā. Ārvalstīs izdotiem dokumentiem vai dokumentiem svešvalodā jāpievieno apliecināts dokumenta tulkojums valsts valodā. Iesniegtie pieteikumi izsolei pretendentiem netiek atdoti atpakaļ.</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Uz aploksnes jānorāda šāda informācija:</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Adresāts: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SIA „ Latvijas Nacionālais sporta centrs”, Augšiela 1, Rīga, LV-1009;</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„Piedāvājums nomas tiesību izsolei par nedzīvojamo telpu nomu, kas atrodas O. Kalpaka prospektā 16, Jūrmalā, ar kopējo platību 175,3 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izsoles identifikācijas Nr.1-16.2/</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„Neatvērt pirms piedāvājumu atvēršanas sanāksmes”;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152"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Pretendenta nosaukums un juridiskā/deklarētā dzīvesvietas adrese.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Saņemtos piedāvājumus, Sabiedrības darbinieks reģistrē izsoles piedāvājumu reģistrācijas lapā to saņemšanas secībā, uz aploksnes norādot reģistrācijas numuru, saņemšanas datumu un laiku, apliecinot to ar parakstu.</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Piedāvājumus, kas iesniegti pēc Nolikuma 4.1.punktā noteiktā termiņa, Komisija nereģistrē un neatvērtu atgriež atpakaļ iesniedzējiem.</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Komisija piedāvājumus glabā neatvērtus līdz izsoles sākumam.</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Ziņas par pretendentiem un to skaitu netiek izpaustas līdz izsoles sākumam.</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Izsoles norises kārtība</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Rakstiska izsole (pretendentu piedāvājumu atvēršana) notiks </w:t>
      </w:r>
      <w:r w:rsidDel="00000000" w:rsidR="00000000" w:rsidRPr="00000000">
        <w:rPr>
          <w:rFonts w:ascii="Times New Roman" w:cs="Times New Roman" w:eastAsia="Times New Roman" w:hAnsi="Times New Roman"/>
          <w:b w:val="1"/>
          <w:rtl w:val="0"/>
        </w:rPr>
        <w:t xml:space="preserve">04.07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.2023. plkst. 11:00.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Augšielā 1, Rīgā, Sabiedrības Administrācijas telpās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Piedāvājumu atvēršanas sanāksme ir atklāta un tajā var piedalīties visas ieinteresētās personas.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Piedāvājumu atvēršanas sēde tiek protokolēta.</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Atklājot piedāvājumu atvēršanu, Komisijas priekšsēdētājs nosauc izsoles objekta adresi un sastāvu, paziņo izsoles sākumcenu un informē par izsoles kārtību.</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Komisijas priekšsēdētājs, atverot katru piedāvājumu to iesniegšanas secībā, nosauc nomas tiesību pretendentu, piedāvājuma iesniegšanas datumu un laiku, kā arī nomas tiesību pretendenta piedāvāto nomas maksas apmēru.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Pretendentu piedāvājumu atbilstības pārbaudi Nolikuma prasībām Komisija veic slēgtā sēdes daļā.  Par izsoles rezultātiem visi pretendenti tiek informēti rakstveidā 3 (trīs) darba dienu laikā pēc lēmuma par izsoles uzvarētāju pieņemšanas.</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426"/>
          <w:tab w:val="left" w:leader="none" w:pos="851"/>
        </w:tabs>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Komisija ir tiesīga pieņemt lēmumu par nomas tiesību pretendenta izslēgšanu no dalības rakstiskā izsolē un nomas pieteikumu tālāk neizskata, ja:</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piedāvājums nav noformēts atbilstoši Nolikuma 4.2.punktam vai piedāvājumā iztrūkst pieprasītā informācija;</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piedāvātais nomas maksas apmērs ir mazāks par Nolikuma 2.3.punktā noteikto izsoles sākumcenu;</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pretendents ir iesniedzis nepatiesu informāciju;</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pieteikumu ir parakstījusi personas bez pretendenta pārstāvības tiesībām;</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pret pretendentu ir ierosināta maksātnespēja, pretendents atrodas bankrota, likvidācijas stadijā, pretendenta saimnieciskā darbība ir apturēta vai izbeigta;</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pretendentam ir Valsts ieņēmumu dienesta administrēto nodokļu (nodevu) parādi un to summa pārsniedz EUR 150,00 (viens simts piecdesmit euro un 00 centi);</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 izsoles uzvarētāju tiek atzīts pretendents, kura piedāvājums atbilst Nolikuma prasībām un kurš ir nosolījis augstāko nomas maksu.</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pēc visu piedāvājumu atvēršanas Komisija konstatē, ka vairāki pretendenti piedāvājuši vienādu augstāko nomas maksu, Komisija veic vienu no šādām darbībām:</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276" w:right="0" w:hanging="55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turpina izsoli, pieņemot rakstiskus piedāvājumus no pretendentiem vai to pārstāvjiem, kas piedāvājuši vienādu augstāko nomas maksu, ja tie piedalās piedāvājumu atvēršanā, un organizē tūlītēju piedāvājumu atvēršanu;</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276" w:right="0" w:hanging="55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visu Pretendentu iesniegtie piedāvājumi neatbilst šīs izsoles Nolikuma prasībām, izsole ir izbeidzama bez rezultāta.</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Izsole tiek uzskatīta par nenotikušu, ja:</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neviens pretendents nav iesniedzis pieteikumu;</w:t>
      </w:r>
    </w:p>
    <w:p w:rsidR="00000000" w:rsidDel="00000000" w:rsidP="00000000" w:rsidRDefault="00000000" w:rsidRPr="00000000" w14:paraId="0000005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1418" w:right="0" w:hanging="69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neviens no pretendentiem, kurš ieguvis tiesības slēgt nomas līgumu, nenoslēdz to noteiktajā termiņā;</w:t>
      </w:r>
    </w:p>
    <w:p w:rsidR="00000000" w:rsidDel="00000000" w:rsidP="00000000" w:rsidRDefault="00000000" w:rsidRPr="00000000" w14:paraId="0000005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nomas tiesības iegūst pretendents, kuram nav bijušas tiesības piedalīties izsolē.</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izsolei piesakās tikai viens pretendents un tā iesniegtais piedāvājums atbilst Nolikuma prasībām, izsoli atzīt par notikušu un ar vienīgo izsoles pretendentu, ja piedāvātā nomas maksa nav mazāka par izsoles sākumcenu, slēdz nomas līgumu.</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Komisijai ir tiesības pārtraukt izsoli, ja tiek iegūta pietiekama informācija un pārliecība, ka pastāv noruna kādu atturēt no piedalīšanās izsolē vai starp pretendentiem pastāv vienošanās, kas var ietekmēt izsoles rezultātus vai gaitu.</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Komisija patur tiesības jebkurā brīdī pārtraukt izsoli, ja tā konstatē jebkādas nepilnības Nolikumā.</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568"/>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Pēc lēmuma pieņemšanas par izsoles uzvarētāju, Sabiedrība paziņo izsoles rezultātus visiem pretendentiem, nosūtot rakstisku paziņojumu.</w:t>
      </w: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Nomas līguma noslēgšana</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Sabiedrība noslēdz nomas līgumu (Nolikuma 2.pielikums) ar pretendentu, kurš uzvarējis izsolē.</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pretendents, kurš piedāvājis augstāko nomas maksu, atsakās slēgt nomas līgumu, Sabiedrība secīgi piedāvā nomas līgumu slēgt tam pretendentam, kurš piedāvājis nākamo augstāko nomas maksu.</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Sabiedrība 10 darba dienu laikā pēc nomas līguma noslēgšanas savā mājaslapā internetā </w:t>
      </w: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www.lnsc.lv</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kā arī VAS „Valsts nekustamie īpašumi” mājaslapā internetā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www.vni.lv</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publicē informāciju par noslēgto līgumu.</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Pielikumi</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1.pielikums - Izsoles pieteikuma veidlapa uz 1 lapas;</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2.pielikums - Tehniskā specifikācija/Tehniskais piedāvājums uz 1 lapas;</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3.pielikums -  Nedzīvojamo telpu nomas līguma projekts uz 7 lapām.</w:t>
      </w:r>
    </w:p>
    <w:p w:rsidR="00000000" w:rsidDel="00000000" w:rsidP="00000000" w:rsidRDefault="00000000" w:rsidRPr="00000000" w14:paraId="0000006A">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B">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Komisijas priekšsēdētājs </w:t>
        <w:tab/>
        <w:tab/>
        <w:tab/>
        <w:tab/>
        <w:tab/>
        <w:tab/>
        <w:tab/>
        <w:t xml:space="preserve">Juris Valters</w:t>
      </w:r>
    </w:p>
    <w:p w:rsidR="00000000" w:rsidDel="00000000" w:rsidP="00000000" w:rsidRDefault="00000000" w:rsidRPr="00000000" w14:paraId="0000006E">
      <w:pPr>
        <w:rPr/>
      </w:pPr>
      <w:r w:rsidDel="00000000" w:rsidR="00000000" w:rsidRPr="00000000">
        <w:rPr>
          <w:rtl w:val="0"/>
        </w:rPr>
      </w:r>
    </w:p>
    <w:sectPr>
      <w:headerReference r:id="rId13" w:type="default"/>
      <w:footerReference r:id="rId14" w:type="first"/>
      <w:pgSz w:h="16838" w:w="11906" w:orient="portrait"/>
      <w:pgMar w:bottom="1135" w:top="709" w:left="1418" w:right="127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Lapa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3"/>
      <w:numFmt w:val="decimal"/>
      <w:lvlText w:val="%1.%2"/>
      <w:lvlJc w:val="left"/>
      <w:pPr>
        <w:ind w:left="576" w:hanging="360"/>
      </w:pPr>
      <w:rPr>
        <w:b w:val="0"/>
      </w:rPr>
    </w:lvl>
    <w:lvl w:ilvl="2">
      <w:start w:val="1"/>
      <w:numFmt w:val="decimal"/>
      <w:lvlText w:val="%1.%2.%3"/>
      <w:lvlJc w:val="left"/>
      <w:pPr>
        <w:ind w:left="1152" w:hanging="720"/>
      </w:pPr>
      <w:rPr/>
    </w:lvl>
    <w:lvl w:ilvl="3">
      <w:start w:val="1"/>
      <w:numFmt w:val="decimal"/>
      <w:lvlText w:val="%1.%2.%3.%4"/>
      <w:lvlJc w:val="left"/>
      <w:pPr>
        <w:ind w:left="1368" w:hanging="719.9999999999999"/>
      </w:pPr>
      <w:rPr/>
    </w:lvl>
    <w:lvl w:ilvl="4">
      <w:start w:val="1"/>
      <w:numFmt w:val="decimal"/>
      <w:lvlText w:val="%1.%2.%3.%4.%5"/>
      <w:lvlJc w:val="left"/>
      <w:pPr>
        <w:ind w:left="1944" w:hanging="1080"/>
      </w:pPr>
      <w:rPr/>
    </w:lvl>
    <w:lvl w:ilvl="5">
      <w:start w:val="1"/>
      <w:numFmt w:val="decimal"/>
      <w:lvlText w:val="%1.%2.%3.%4.%5.%6"/>
      <w:lvlJc w:val="left"/>
      <w:pPr>
        <w:ind w:left="2160" w:hanging="1080"/>
      </w:pPr>
      <w:rPr/>
    </w:lvl>
    <w:lvl w:ilvl="6">
      <w:start w:val="1"/>
      <w:numFmt w:val="decimal"/>
      <w:lvlText w:val="%1.%2.%3.%4.%5.%6.%7"/>
      <w:lvlJc w:val="left"/>
      <w:pPr>
        <w:ind w:left="2736" w:hanging="1439.9999999999998"/>
      </w:pPr>
      <w:rPr/>
    </w:lvl>
    <w:lvl w:ilvl="7">
      <w:start w:val="1"/>
      <w:numFmt w:val="decimal"/>
      <w:lvlText w:val="%1.%2.%3.%4.%5.%6.%7.%8"/>
      <w:lvlJc w:val="left"/>
      <w:pPr>
        <w:ind w:left="2952" w:hanging="1440"/>
      </w:pPr>
      <w:rPr/>
    </w:lvl>
    <w:lvl w:ilvl="8">
      <w:start w:val="1"/>
      <w:numFmt w:val="decimal"/>
      <w:lvlText w:val="%1.%2.%3.%4.%5.%6.%7.%8.%9"/>
      <w:lvlJc w:val="left"/>
      <w:pPr>
        <w:ind w:left="3168" w:hanging="1440"/>
      </w:pPr>
      <w:rPr/>
    </w:lvl>
  </w:abstractNum>
  <w:abstractNum w:abstractNumId="2">
    <w:lvl w:ilvl="0">
      <w:start w:val="3"/>
      <w:numFmt w:val="decimal"/>
      <w:lvlText w:val="%1"/>
      <w:lvlJc w:val="left"/>
      <w:pPr>
        <w:ind w:left="360" w:hanging="360"/>
      </w:pPr>
      <w:rPr>
        <w:b w:val="0"/>
        <w:i w:val="0"/>
      </w:rPr>
    </w:lvl>
    <w:lvl w:ilvl="1">
      <w:start w:val="1"/>
      <w:numFmt w:val="decimal"/>
      <w:lvlText w:val="%1.%2"/>
      <w:lvlJc w:val="left"/>
      <w:pPr>
        <w:ind w:left="576" w:hanging="360"/>
      </w:pPr>
      <w:rPr>
        <w:b w:val="0"/>
        <w:i w:val="0"/>
      </w:rPr>
    </w:lvl>
    <w:lvl w:ilvl="2">
      <w:start w:val="1"/>
      <w:numFmt w:val="decimal"/>
      <w:lvlText w:val="%1.%2.%3"/>
      <w:lvlJc w:val="left"/>
      <w:pPr>
        <w:ind w:left="1152" w:hanging="720"/>
      </w:pPr>
      <w:rPr>
        <w:b w:val="0"/>
        <w:i w:val="0"/>
      </w:rPr>
    </w:lvl>
    <w:lvl w:ilvl="3">
      <w:start w:val="1"/>
      <w:numFmt w:val="decimal"/>
      <w:lvlText w:val="%1.%2.%3.%4"/>
      <w:lvlJc w:val="left"/>
      <w:pPr>
        <w:ind w:left="1368" w:hanging="719.9999999999999"/>
      </w:pPr>
      <w:rPr>
        <w:b w:val="0"/>
        <w:i w:val="0"/>
      </w:rPr>
    </w:lvl>
    <w:lvl w:ilvl="4">
      <w:start w:val="1"/>
      <w:numFmt w:val="decimal"/>
      <w:lvlText w:val="%1.%2.%3.%4.%5"/>
      <w:lvlJc w:val="left"/>
      <w:pPr>
        <w:ind w:left="1944" w:hanging="1080"/>
      </w:pPr>
      <w:rPr>
        <w:b w:val="0"/>
        <w:i w:val="0"/>
      </w:rPr>
    </w:lvl>
    <w:lvl w:ilvl="5">
      <w:start w:val="1"/>
      <w:numFmt w:val="decimal"/>
      <w:lvlText w:val="%1.%2.%3.%4.%5.%6"/>
      <w:lvlJc w:val="left"/>
      <w:pPr>
        <w:ind w:left="2160" w:hanging="1080"/>
      </w:pPr>
      <w:rPr>
        <w:b w:val="0"/>
        <w:i w:val="0"/>
      </w:rPr>
    </w:lvl>
    <w:lvl w:ilvl="6">
      <w:start w:val="1"/>
      <w:numFmt w:val="decimal"/>
      <w:lvlText w:val="%1.%2.%3.%4.%5.%6.%7"/>
      <w:lvlJc w:val="left"/>
      <w:pPr>
        <w:ind w:left="2736" w:hanging="1439.9999999999998"/>
      </w:pPr>
      <w:rPr>
        <w:b w:val="0"/>
        <w:i w:val="0"/>
      </w:rPr>
    </w:lvl>
    <w:lvl w:ilvl="7">
      <w:start w:val="1"/>
      <w:numFmt w:val="decimal"/>
      <w:lvlText w:val="%1.%2.%3.%4.%5.%6.%7.%8"/>
      <w:lvlJc w:val="left"/>
      <w:pPr>
        <w:ind w:left="2952" w:hanging="1440"/>
      </w:pPr>
      <w:rPr>
        <w:b w:val="0"/>
        <w:i w:val="0"/>
      </w:rPr>
    </w:lvl>
    <w:lvl w:ilvl="8">
      <w:start w:val="1"/>
      <w:numFmt w:val="decimal"/>
      <w:lvlText w:val="%1.%2.%3.%4.%5.%6.%7.%8.%9"/>
      <w:lvlJc w:val="left"/>
      <w:pPr>
        <w:ind w:left="3168" w:hanging="1440"/>
      </w:pPr>
      <w:rPr>
        <w:b w:val="0"/>
        <w:i w:val="0"/>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9.%3."/>
      <w:lvlJc w:val="left"/>
      <w:pPr>
        <w:ind w:left="1224" w:hanging="504"/>
      </w:pPr>
      <w:rPr>
        <w:b w:val="0"/>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b w:val="0"/>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4.8.%3."/>
      <w:lvlJc w:val="left"/>
      <w:pPr>
        <w:ind w:left="1224" w:hanging="504"/>
      </w:pPr>
      <w:rPr>
        <w:b w:val="0"/>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4A2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5A52"/>
    <w:pPr>
      <w:ind w:left="720"/>
      <w:contextualSpacing w:val="1"/>
    </w:pPr>
  </w:style>
  <w:style w:type="character" w:styleId="Hyperlink">
    <w:name w:val="Hyperlink"/>
    <w:basedOn w:val="DefaultParagraphFont"/>
    <w:uiPriority w:val="99"/>
    <w:unhideWhenUsed w:val="1"/>
    <w:rsid w:val="007807E7"/>
    <w:rPr>
      <w:color w:val="0563c1" w:themeColor="hyperlink"/>
      <w:u w:val="single"/>
    </w:rPr>
  </w:style>
  <w:style w:type="paragraph" w:styleId="FootnoteText">
    <w:name w:val="footnote text"/>
    <w:basedOn w:val="Normal"/>
    <w:link w:val="FootnoteTextChar"/>
    <w:uiPriority w:val="99"/>
    <w:semiHidden w:val="1"/>
    <w:unhideWhenUsed w:val="1"/>
    <w:rsid w:val="006463D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463D8"/>
    <w:rPr>
      <w:sz w:val="20"/>
      <w:szCs w:val="20"/>
    </w:rPr>
  </w:style>
  <w:style w:type="character" w:styleId="FootnoteReference">
    <w:name w:val="footnote reference"/>
    <w:basedOn w:val="DefaultParagraphFont"/>
    <w:uiPriority w:val="99"/>
    <w:semiHidden w:val="1"/>
    <w:unhideWhenUsed w:val="1"/>
    <w:rsid w:val="006463D8"/>
    <w:rPr>
      <w:vertAlign w:val="superscript"/>
    </w:rPr>
  </w:style>
  <w:style w:type="paragraph" w:styleId="Header">
    <w:name w:val="header"/>
    <w:basedOn w:val="Normal"/>
    <w:link w:val="HeaderChar"/>
    <w:uiPriority w:val="99"/>
    <w:unhideWhenUsed w:val="1"/>
    <w:rsid w:val="004F51EF"/>
    <w:pPr>
      <w:tabs>
        <w:tab w:val="center" w:pos="4153"/>
        <w:tab w:val="right" w:pos="8306"/>
      </w:tabs>
      <w:spacing w:after="0" w:line="240" w:lineRule="auto"/>
    </w:pPr>
  </w:style>
  <w:style w:type="character" w:styleId="HeaderChar" w:customStyle="1">
    <w:name w:val="Header Char"/>
    <w:basedOn w:val="DefaultParagraphFont"/>
    <w:link w:val="Header"/>
    <w:uiPriority w:val="99"/>
    <w:rsid w:val="004F51EF"/>
  </w:style>
  <w:style w:type="paragraph" w:styleId="Footer">
    <w:name w:val="footer"/>
    <w:basedOn w:val="Normal"/>
    <w:link w:val="FooterChar"/>
    <w:uiPriority w:val="99"/>
    <w:unhideWhenUsed w:val="1"/>
    <w:rsid w:val="004F51EF"/>
    <w:pPr>
      <w:tabs>
        <w:tab w:val="center" w:pos="4153"/>
        <w:tab w:val="right" w:pos="8306"/>
      </w:tabs>
      <w:spacing w:after="0" w:line="240" w:lineRule="auto"/>
    </w:pPr>
  </w:style>
  <w:style w:type="character" w:styleId="FooterChar" w:customStyle="1">
    <w:name w:val="Footer Char"/>
    <w:basedOn w:val="DefaultParagraphFont"/>
    <w:link w:val="Footer"/>
    <w:uiPriority w:val="99"/>
    <w:rsid w:val="004F51EF"/>
  </w:style>
  <w:style w:type="paragraph" w:styleId="BalloonText">
    <w:name w:val="Balloon Text"/>
    <w:basedOn w:val="Normal"/>
    <w:link w:val="BalloonTextChar"/>
    <w:uiPriority w:val="99"/>
    <w:semiHidden w:val="1"/>
    <w:unhideWhenUsed w:val="1"/>
    <w:rsid w:val="007505E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05ED"/>
    <w:rPr>
      <w:rFonts w:ascii="Segoe UI" w:cs="Segoe UI" w:hAnsi="Segoe UI"/>
      <w:sz w:val="18"/>
      <w:szCs w:val="18"/>
    </w:rPr>
  </w:style>
  <w:style w:type="character" w:styleId="Neatrisintapieminana1" w:customStyle="1">
    <w:name w:val="Neatrisināta pieminēšana1"/>
    <w:basedOn w:val="DefaultParagraphFont"/>
    <w:uiPriority w:val="99"/>
    <w:semiHidden w:val="1"/>
    <w:unhideWhenUsed w:val="1"/>
    <w:rsid w:val="00B1618B"/>
    <w:rPr>
      <w:color w:val="605e5c"/>
      <w:shd w:color="auto" w:fill="e1dfdd" w:val="clear"/>
    </w:rPr>
  </w:style>
  <w:style w:type="character" w:styleId="UnresolvedMention">
    <w:name w:val="Unresolved Mention"/>
    <w:basedOn w:val="DefaultParagraphFont"/>
    <w:uiPriority w:val="99"/>
    <w:semiHidden w:val="1"/>
    <w:unhideWhenUsed w:val="1"/>
    <w:rsid w:val="00E273D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nsc.lv" TargetMode="External"/><Relationship Id="rId10" Type="http://schemas.openxmlformats.org/officeDocument/2006/relationships/hyperlink" Target="http://www.vni.lv" TargetMode="External"/><Relationship Id="rId13" Type="http://schemas.openxmlformats.org/officeDocument/2006/relationships/header" Target="header1.xml"/><Relationship Id="rId12" Type="http://schemas.openxmlformats.org/officeDocument/2006/relationships/hyperlink" Target="http://www.vni.l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nsc.l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ksana.mackevica@lnsc.lv" TargetMode="External"/><Relationship Id="rId8" Type="http://schemas.openxmlformats.org/officeDocument/2006/relationships/hyperlink" Target="mailto:oksana.mackevica@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MlpQfN6q+WvZdpNW6DQKxAgcQQ==">CgMxLjAyCGguZ2pkZ3hzOAByITFIeWF0VzFJRHl6OG10LURWX1QtaWNFOVY3b3VhU25vYQ==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2023-05-03T08:20:00Z</dcterms:created>
  <dc:creator>Egija Upenāja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0x010100739C06B9D96F5E498BA6534E24EBA201</vt:lpwstr>
  </property>
</Properties>
</file>